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A10" w14:textId="62DFBD8B" w:rsidR="0065561F" w:rsidRPr="00D85DBD" w:rsidRDefault="007504B6" w:rsidP="0065561F">
      <w:pPr>
        <w:rPr>
          <w:rFonts w:ascii="Times New Roman" w:hAnsi="Times New Roman" w:cs="Times New Roman"/>
          <w:sz w:val="24"/>
          <w:szCs w:val="24"/>
        </w:rPr>
      </w:pPr>
      <w:r w:rsidRPr="000678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776B1E" wp14:editId="4C552DC6">
            <wp:extent cx="1530166" cy="3952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66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BA7F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Gjuhë</w:t>
      </w:r>
      <w:proofErr w:type="spellEnd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Shqipe (Viti I-III)</w:t>
      </w:r>
    </w:p>
    <w:p w14:paraId="12A28D4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113A3C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7C4B405" w14:textId="60818439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Gjuha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603AF9FB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përvetësimi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individ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qy¬tetar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drejtpërdrejt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veçonim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amtare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përvetë¬simin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folurit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dëgjuarit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teorik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konceptual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ndërthurur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art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Ajo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favorizon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individë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amtare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gjykimet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imagjinatën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arrijnë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para¬qitje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pikëpamje.Përmes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argumenteve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kontribuon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qytetarë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EBA253B" w14:textId="77777777" w:rsidR="00D85DBD" w:rsidRP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51950E0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1D5C15F3" w14:textId="63BA78D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Gjuha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70C2C3C5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11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përcjellë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reflektimin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jetojmë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kornizën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kurrikulare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shprehurit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dëgjuarit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gramatikore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drejtshkrimore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pikësimit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ndërkurrikulare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vendimmarrja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morale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nashkëjetesa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paqësore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sjellë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ilustruese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ndërthuret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TIK-u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thellojë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9A8B03C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289E17BE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5D7DDFB8" w14:textId="77777777" w:rsidR="00D85DBD" w:rsidRP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7ADD5B1E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Gjuha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III)</w:t>
      </w:r>
    </w:p>
    <w:p w14:paraId="18FD862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2408681" w14:textId="25618509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mëtejmë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formi¬min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personalitetit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gramatikore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mënjanohen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dobësitë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morfosintaksore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drejtshkrimore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pengojnë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korrekt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detajeve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komplekse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Duhet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njihen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përforcohen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gramatikës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gojore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tipave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përforcohen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fonema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thjeshtë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ç’janë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drejtshkrimin.Të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drejtpërdrejt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mirëfilltë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nxënësit.Rritja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shkallës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amtare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shkathtësive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joletrare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074EB0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32E01D8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Letërsi</w:t>
      </w:r>
      <w:proofErr w:type="spellEnd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(Viti I-III)</w:t>
      </w:r>
    </w:p>
    <w:p w14:paraId="5709993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64742A6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16D49D3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B57B4DC" w14:textId="36331A2E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letersisë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10.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përmblidhen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Teoria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9.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kriterit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kronologjik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plotësohen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muzikë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pikturë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skulpturë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film,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larmishme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didaktike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ciklin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9-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vjeçar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bagazh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ngrihet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didaktik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formojmë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estetike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shpirtërore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sonë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6EC257C7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30AE50E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A61644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arsimimit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kultivimin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përbërëse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11"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plota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shkathtësive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Mbështetet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paraardhëse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specifikat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digjitale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pavarur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ndërkurrikulare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kultivojë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bashkëjetesën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ndiejë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misionin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7551263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45384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Letërsia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III)</w:t>
      </w:r>
    </w:p>
    <w:p w14:paraId="0374BDB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309E788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mbështetet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kornizën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kurrikulare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gjinive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përcaktohen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shkathtësi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estetik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pasurimin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ndërkurrikulare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situatave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diskutimeve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eseve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tërheqëse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bashkëvepruese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intelektuale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moral,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estetik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sociologjik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A83DB71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3C111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1E4DDDFE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305F0D58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2AD834E2" w14:textId="77777777" w:rsidR="00D85DBD" w:rsidRP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3F86618E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Anglisht</w:t>
      </w:r>
      <w:proofErr w:type="spellEnd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(Viti I-III)</w:t>
      </w:r>
    </w:p>
    <w:p w14:paraId="788CFBEE" w14:textId="77777777" w:rsidR="00952B31" w:rsidRPr="00D85DBD" w:rsidRDefault="00952B31" w:rsidP="0065561F">
      <w:pPr>
        <w:rPr>
          <w:rFonts w:ascii="Times New Roman" w:hAnsi="Times New Roman" w:cs="Times New Roman"/>
          <w:sz w:val="24"/>
          <w:szCs w:val="24"/>
        </w:rPr>
      </w:pPr>
    </w:p>
    <w:p w14:paraId="7DCA3EC8" w14:textId="0F4C2DFD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Anglisht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2FEB528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“Pioneer” –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MM Publications,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B1 Intermediate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Korniza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Evropiane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Referencës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(CEFR). 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konsolidojë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9-vjeçare, duke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këndvështrim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angazhimin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ambicieve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përvetësimin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konsolidon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stad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reflekset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dëgjim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stimulohet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71C959E2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48A1B53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1473277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Anglisht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3367EDF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“Pioneer” –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MM Publications,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B1+ Intermediate+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Korniza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Evropiane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Referencës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(CEFR). Puna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nisur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mëparshëm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balancim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përfshirje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këndvështrim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nxitet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komplekse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spektër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problemesh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dëgjues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gatshëm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përballojë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standard B2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CEFR (Common European Framework of Reference)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shkollor</w:t>
      </w:r>
      <w:proofErr w:type="spellEnd"/>
    </w:p>
    <w:p w14:paraId="35215521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CBAD80" w14:textId="61803711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Anglisht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III)</w:t>
      </w:r>
    </w:p>
    <w:p w14:paraId="52CBF18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vit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(2025–2026),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përmbyllës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ciklit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metodës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“Pioneer”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B2.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Fokusi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absorbimin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cikli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rishikon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harmonike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kompleksit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gatshëm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pikëpamja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gjysmëformale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B980D91" w14:textId="748D0B5B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kënaqësinë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mëshuar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konsultave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qofshin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takimet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klubit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Anglishtes.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gatshëm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përballet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provimet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TOEFL apo IELTS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universitetet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</w:t>
      </w:r>
      <w:proofErr w:type="spellEnd"/>
    </w:p>
    <w:p w14:paraId="534D462C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689DF4C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(Viti I-II)</w:t>
      </w:r>
    </w:p>
    <w:p w14:paraId="2BD42B4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58E414F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3D6C226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FC34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percakton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qarte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ngjarjet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qytetërimet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qytetërimi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Antikiteti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Mesjeta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Rilindja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Modernizimi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Bashkëkohore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Ky program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fakte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ndodhur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ekonomiko-shoqërore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identifikuar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veçoritë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Brenda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kesaj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lende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perfshire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ngjarjet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ndodhur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paralelisht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Shqiperinë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qytetërimeve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5506DC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98FD56B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6DFB1BD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568339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Historia 11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jape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tablo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trojet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trevave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lashtësia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DBD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Antikiteti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Mesjeta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Modernizimi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Bashkëkohore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qytetërimet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Ilire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Mbreterite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para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Shtetet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para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ilire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popullsinë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ilire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Perandorisë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Bizantine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Epoka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Mesjetes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misheruar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qarte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Epoka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Skënderbeut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pushtimit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osman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Rilindja Kombëtare;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Pavarësisë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Lufta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1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2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kufijve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trevave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antikiteti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990071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56CD206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III me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C213C2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27CE2A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12 (me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Historisë 10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Historisë </w:t>
      </w:r>
      <w:proofErr w:type="gramStart"/>
      <w:r w:rsidRPr="00D85DBD">
        <w:rPr>
          <w:rFonts w:ascii="Times New Roman" w:hAnsi="Times New Roman" w:cs="Times New Roman"/>
          <w:sz w:val="24"/>
          <w:szCs w:val="24"/>
        </w:rPr>
        <w:t>11,ku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vete,ky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favorizon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panoramike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ndërthurur,integrimi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Brenda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momentet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Antikiteti,mesjeta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D85DBD">
        <w:rPr>
          <w:rFonts w:ascii="Times New Roman" w:hAnsi="Times New Roman" w:cs="Times New Roman"/>
          <w:sz w:val="24"/>
          <w:szCs w:val="24"/>
        </w:rPr>
        <w:t>Modernizimi,Bashkëkohore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hedh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Ajo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qytetërime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histories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nxjerr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analizon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roli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shqiptarëve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histories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euroaziatike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zgjerua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fokusin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ngjarjeve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10E19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EAB100E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Qytetari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I/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Filozofi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II/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Sociologji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II-III)</w:t>
      </w:r>
    </w:p>
    <w:p w14:paraId="0393F4B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E20FDE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libri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çon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aspekti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daljen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skenë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dimensionit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nismave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manifestojnë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praninë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rritjeje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vetëdijes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2B981CD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mbështetja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thelbi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shpirtin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Por,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kritikosh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asgjë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s’ka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asgjë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1B56B1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pastaj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diskutojnë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njëri-tjetrin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dëgjojnë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njëri-tjetrin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77DB28F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FD8D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shihet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lodhshme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padobishme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tregojë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paragjykime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ëndje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tekstet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shkurtra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33ED5CE2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thjeshtë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argumentin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debatuar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Sot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qytetërimeve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kulturave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Zemra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misionit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strategjie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”!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quajtur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intelektuale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tilla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dinjitet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Filozofia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kontribuon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menduari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shtyn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largon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paragjykimet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fetare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kontribuar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paqen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nxitur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debatin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argumentin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toleranca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mirëkuptimi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jetojmë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4112238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3DD3388B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377318C5" w14:textId="77777777" w:rsid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2E8578E2" w14:textId="77777777" w:rsidR="00D85DBD" w:rsidRPr="00D85DBD" w:rsidRDefault="00D85DBD" w:rsidP="0065561F">
      <w:pPr>
        <w:rPr>
          <w:rFonts w:ascii="Times New Roman" w:hAnsi="Times New Roman" w:cs="Times New Roman"/>
          <w:sz w:val="24"/>
          <w:szCs w:val="24"/>
        </w:rPr>
      </w:pPr>
    </w:p>
    <w:p w14:paraId="105A8933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Gjeografi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7C4E2E9C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DF5440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kompleksitetin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human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nënrajoneve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zgjidhje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modelet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sfidat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ndërvarësitë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botërore.Gjeografia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popullsinë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ekonomine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trevave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ndërsjelltë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hapësinor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prodhuese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rajoneve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shqipëtare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540142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651811E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Shkencë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Toke (Viti I)</w:t>
      </w:r>
    </w:p>
    <w:p w14:paraId="2736E903" w14:textId="35A3575E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D85DBD">
        <w:rPr>
          <w:rFonts w:ascii="Times New Roman" w:hAnsi="Times New Roman" w:cs="Times New Roman"/>
          <w:sz w:val="24"/>
          <w:szCs w:val="24"/>
        </w:rPr>
        <w:t>Tokes ,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dinamikës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universit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ndërveprimin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njerëzor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Tokes 10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gjeografisë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gjeologjisë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historinë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tektonikën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pllakave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klimën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astronomike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dinamikës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095DD5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88CB3" w14:textId="0BF89D3C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Matematik</w:t>
      </w:r>
      <w:r w:rsidR="00D85DBD" w:rsidRPr="00D85DBD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Matematik</w:t>
      </w:r>
      <w:r w:rsidR="00D85DBD" w:rsidRPr="00D85DBD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thelluar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301A76D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:</w:t>
      </w:r>
    </w:p>
    <w:p w14:paraId="024CC8F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6C775AD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numra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Përpjesëtimet,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Matjet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matje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shumëkëndëshat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Gjeometri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algjebrike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,</w:t>
      </w:r>
    </w:p>
    <w:p w14:paraId="3CFA554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Formulat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Ekuacionet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inekuacionet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30AC65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F675D01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Matematikë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4B67DD0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0FA83E9" w14:textId="77777777" w:rsid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:</w:t>
      </w:r>
    </w:p>
    <w:p w14:paraId="3E48F2A2" w14:textId="5BB4AB49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Faktorët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rrënjët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numra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Përpjesëtimet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Gjeometria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Pitagorës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ekuacioni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drejtëzës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koeficienti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lineare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largesë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përpjesëtimor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zhdrejtë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eksponenciale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koeficienti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syprina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kufizuara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ekuacioni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Vargjet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ngjarjeve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kombinuara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F911389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A72AB6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sz w:val="24"/>
          <w:szCs w:val="24"/>
        </w:rPr>
        <w:t>Matematikë</w:t>
      </w:r>
      <w:proofErr w:type="spellEnd"/>
      <w:r w:rsidRPr="00D85DBD">
        <w:rPr>
          <w:rFonts w:ascii="Times New Roman" w:hAnsi="Times New Roman" w:cs="Times New Roman"/>
          <w:b/>
          <w:bCs/>
          <w:sz w:val="24"/>
          <w:szCs w:val="24"/>
        </w:rPr>
        <w:t xml:space="preserve"> (Viti III)</w:t>
      </w:r>
    </w:p>
    <w:p w14:paraId="671E6DF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5EEDADD4" w14:textId="042EB20E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rrënjët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Logaritmet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sinusi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kosinusi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tangenti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teoremat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sinusit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kosinusit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radiani,funksione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anasjella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tëfunksioneve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formulat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shumës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diferencës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këndeve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përkufizime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koordinatat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vektorit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prodhimi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vektorëve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Algjebra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argumentimi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fuqisë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ekuacioneve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drejtëzat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rrathët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inekuacionet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funksionet,ekuacionet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thyesat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algjebrike,zbërthimi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thyesave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algjebrike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thyesa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përafrimi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vijave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vargjet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progresionet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aritmtike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progresionet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Polinomet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binomial,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Derivimi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përkufizimi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derivatit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derivati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y =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axndhe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simbolika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Lajbnicit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shpejtësia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tangjentja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pingulja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ekstremumet,integrimi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syprina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përkulshmëria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vijës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infleksionit,funksionet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trigonometrike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eksponenciale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logaritmike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derivimit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tëprodhimit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funksioneve,derivimi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funksionit</w:t>
      </w:r>
      <w:proofErr w:type="spellEnd"/>
      <w:r w:rsidR="0005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eksponenciale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logaritmike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paraqitja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ndryshoret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diskrete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shpërndarja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kusht,shpërndarja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binomiale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probabilitetit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).</w:t>
      </w:r>
    </w:p>
    <w:p w14:paraId="5F3275C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DDC61DA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35C46D5F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Informatikë</w:t>
      </w:r>
      <w:proofErr w:type="spellEnd"/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– TIK (Viti I-II)</w:t>
      </w:r>
    </w:p>
    <w:p w14:paraId="4BA4A84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6D9AD87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Informatikë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– TIK (Viti I)</w:t>
      </w:r>
    </w:p>
    <w:p w14:paraId="67E2CAD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kompjuterike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digjital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HTML, CSS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mësimor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pasurohen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interneti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algoritmika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C++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JAVA.</w:t>
      </w:r>
    </w:p>
    <w:p w14:paraId="4937D21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D84D084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Informatikë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– TIK (Viti II)</w:t>
      </w:r>
    </w:p>
    <w:p w14:paraId="6B404F5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njëmbëdhjetë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bërthamë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bërthamë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kompjuterike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databaza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Access,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Python.</w:t>
      </w:r>
    </w:p>
    <w:p w14:paraId="1D2F978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informatikën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Web Programming (HTML, CSS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C++ duke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përqëndruar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matricat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stivat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radhët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5D55D2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5628638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Informatikë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– TIK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Avancuar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2CFAAC34" w14:textId="5C665B53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njëmbëdhjetë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bërthamë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bërthamë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kompjuterike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databaza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Access,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5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Python.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informatikën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Web Programming (HTML, CSS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C++ duke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përqëndruar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matricat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stivat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radhët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7AD0ED3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351E7684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Fizikë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I-III)</w:t>
      </w:r>
    </w:p>
    <w:p w14:paraId="6CB572D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80316CC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Fizikë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798E333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10”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zgjidhje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vendimesh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mekanikën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Njutoniane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867715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3736FB8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Fizikë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3E91B54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5820504" w14:textId="28D9060C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11”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termodinamikë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elektrostatikë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magnetizëm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lëkundje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valët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paraprirë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mekatronikës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elektronikës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0648588" w14:textId="77777777" w:rsidR="00057407" w:rsidRPr="00D85DBD" w:rsidRDefault="00057407" w:rsidP="0065561F">
      <w:pPr>
        <w:rPr>
          <w:rFonts w:ascii="Times New Roman" w:hAnsi="Times New Roman" w:cs="Times New Roman"/>
          <w:sz w:val="24"/>
          <w:szCs w:val="24"/>
        </w:rPr>
      </w:pPr>
    </w:p>
    <w:p w14:paraId="18076DCE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Fizikë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700C3B5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04D921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DBD">
        <w:rPr>
          <w:rFonts w:ascii="Times New Roman" w:hAnsi="Times New Roman" w:cs="Times New Roman"/>
          <w:sz w:val="24"/>
          <w:szCs w:val="24"/>
        </w:rPr>
        <w:t xml:space="preserve">12“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përforcimi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laboratorike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cilësi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laboratorin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klubin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eseve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CB20230" w14:textId="28C9BA6D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Fizikë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 me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zgjedhje</w:t>
      </w:r>
      <w:proofErr w:type="spellEnd"/>
    </w:p>
    <w:p w14:paraId="0D1F3C61" w14:textId="2139AA6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degët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ndjekin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shkathtësi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qëndrime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  <w:r w:rsidR="0005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thellojnë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degët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Natyrore,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Inxhinierike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zgjidhje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vendimesh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kontributin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ndërgjegjësohen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bashkëvepruar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përgjegjshme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konsensuale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përshkruajnë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përshkruajnë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energjetike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bashkëveprimeve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gravitacionale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elektromagnetike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bërthamore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dobëta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shpjegojnë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25C2019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4B6E344" w14:textId="77777777" w:rsidR="00057407" w:rsidRDefault="00057407" w:rsidP="0065561F">
      <w:pPr>
        <w:rPr>
          <w:rFonts w:ascii="Times New Roman" w:hAnsi="Times New Roman" w:cs="Times New Roman"/>
          <w:sz w:val="24"/>
          <w:szCs w:val="24"/>
        </w:rPr>
      </w:pPr>
    </w:p>
    <w:p w14:paraId="2347FDCE" w14:textId="77777777" w:rsidR="0065561F" w:rsidRPr="00D85DBD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D85DBD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Kimi (Viti I- II)</w:t>
      </w:r>
    </w:p>
    <w:p w14:paraId="1BE08D73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109F3572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sz w:val="24"/>
          <w:szCs w:val="24"/>
        </w:rPr>
        <w:t>Kimi Bërthamë (Viti I)</w:t>
      </w:r>
    </w:p>
    <w:p w14:paraId="46D2008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atomeve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përberjeve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molekulave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përzierjeve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tretësirave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kombinohen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stadet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materies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formon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5C00054" w14:textId="5D9006BA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jetes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përditshme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mirëqënien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shoqerisë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substancave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05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vleresojë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planifikojë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kimikatet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;</w:t>
      </w:r>
      <w:r w:rsidR="0005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diskutimet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vendimarrjes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konsumator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mire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nxitur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;</w:t>
      </w:r>
    </w:p>
    <w:p w14:paraId="71D96DB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3D538942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sz w:val="24"/>
          <w:szCs w:val="24"/>
        </w:rPr>
        <w:t>Kimi Bërthamë (Viti II)</w:t>
      </w:r>
    </w:p>
    <w:p w14:paraId="48C5793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vetitë,fizike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përbërjeve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inorganike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acideve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kriprave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menyrat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sintezës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përditshmëri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AC86E2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përditshme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mirëqënien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substancave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planifikojë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sigurisç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kimikatet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familjarizohet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industrinë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inxhinierinë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ngjallin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interesin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karierës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6369DF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10341879" w14:textId="7368BA1E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Kimi e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avancuar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399B8AE3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përditshme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mirëqenien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përpunojë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substancave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vlerësojë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planifikojë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dukuri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kimikatet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familjarizohet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moderne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inxhinierinë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diskutimet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konsumator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nxitur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eksperienca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F2BF16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87BBE" w14:textId="72E7E58C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Biologji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</w:t>
      </w:r>
      <w:r w:rsidR="00057407" w:rsidRPr="00057407">
        <w:rPr>
          <w:rFonts w:ascii="Times New Roman" w:hAnsi="Times New Roman" w:cs="Times New Roman"/>
          <w:b/>
          <w:bCs/>
          <w:sz w:val="24"/>
          <w:szCs w:val="24"/>
        </w:rPr>
        <w:t>iti</w:t>
      </w:r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I)</w:t>
      </w:r>
    </w:p>
    <w:p w14:paraId="53100FE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zotërimin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kyçe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zgjidhja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problemeve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terminologjinë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A3DD4ED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:</w:t>
      </w:r>
    </w:p>
    <w:p w14:paraId="211E45B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prokariote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eukariote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organeleve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mitokondri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ribozome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membranë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osmoza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difuzioni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frymëmarrja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fotosinteza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ndarja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mitoza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meioza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).</w:t>
      </w:r>
    </w:p>
    <w:p w14:paraId="2164569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Gjenetika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ARN-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Mendelit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alel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genotip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fenotip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dominancë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recesivitet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mutacionet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15BB18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natyrë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ekologjik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zinxhirët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ushqimorë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piramidat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abiotikë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5B688D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origjina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Darvinit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mekanizmat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dëshmitë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fosilet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homologjitë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6ACA98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8F05877" w14:textId="347FB26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laboratorike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thjeshta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tabelave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skemave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70F49E45" w14:textId="77777777" w:rsidR="00057407" w:rsidRPr="00D85DBD" w:rsidRDefault="00057407" w:rsidP="0065561F">
      <w:pPr>
        <w:rPr>
          <w:rFonts w:ascii="Times New Roman" w:hAnsi="Times New Roman" w:cs="Times New Roman"/>
          <w:sz w:val="24"/>
          <w:szCs w:val="24"/>
        </w:rPr>
      </w:pPr>
    </w:p>
    <w:p w14:paraId="777E9E73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Biologji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II)</w:t>
      </w:r>
    </w:p>
    <w:p w14:paraId="4F919E1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trashëgimisë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terminologjinë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06A72A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:</w:t>
      </w:r>
    </w:p>
    <w:p w14:paraId="2EBD678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stilit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jetesës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3389CD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Gjenetika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ADN, ARN,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Mendelit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mutacionet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1DE61AA2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Ekologjia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nivelet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ekologjik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zinxhirët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ushqimorë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faktorët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abiotikë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mbrojtja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biodiversitetit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1250223" w14:textId="455E2B50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3CFCD89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Biologji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III) </w:t>
      </w:r>
    </w:p>
    <w:p w14:paraId="760CCBE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63F7FDB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:</w:t>
      </w:r>
    </w:p>
    <w:p w14:paraId="3BCC4AF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qelizore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avancuara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gjenetike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roli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proteinave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bioteknologjia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763B8A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diversiteti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dëshmitë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evolucionit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specieformimi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klasifikimi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organizmave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7AF7B8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rrjetat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ushqimore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ruajtja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biodiversitetit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62224E2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Fiziologjia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homeostaza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91DB1F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Riprodhimi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ruajtjes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63406116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>•</w:t>
      </w:r>
      <w:r w:rsidRPr="00D85D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interpretimi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eksperimenteve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7D9707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BBC7F84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0C7296A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30ACEE7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Edukim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Fizik (Viti I)</w:t>
      </w:r>
    </w:p>
    <w:p w14:paraId="70B030E8" w14:textId="3EBD9996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sporteve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shihet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kombinacione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përmbajte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manipulimit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vrapimeve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kërcimeve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taktikë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32512EF1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2945C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Edukim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Fizik (Viti II)</w:t>
      </w:r>
    </w:p>
    <w:p w14:paraId="7F829231" w14:textId="0AB9F732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lastRenderedPageBreak/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sporteve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kontributin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arritjen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fitnesit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</w:p>
    <w:p w14:paraId="4F2F5CE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C1AE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thjeshta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traumave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ndodhin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</w:p>
    <w:p w14:paraId="5670FBF7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parandalimit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rrezikun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narkotike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efektin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performancën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vënien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ushqimi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përmirësimit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77F09B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6FA4D39F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Edukim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Fizik (Viti III)</w:t>
      </w:r>
    </w:p>
    <w:p w14:paraId="347CA2D3" w14:textId="13B9173F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sporte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ka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stili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shëndetshëm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thjeshta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akrobatik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gjimnastikës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ritmike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aerobike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stimulimin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krijuese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C7F37B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vrapimeve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distancave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atletikore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kërcimeve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hedhjeve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lëvizore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tradicionale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reflektimin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aspektin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edukativ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DBD">
        <w:rPr>
          <w:rFonts w:ascii="Times New Roman" w:hAnsi="Times New Roman" w:cs="Times New Roman"/>
          <w:sz w:val="24"/>
          <w:szCs w:val="24"/>
        </w:rPr>
        <w:t>tyre,ekzekutimin</w:t>
      </w:r>
      <w:proofErr w:type="spellEnd"/>
      <w:proofErr w:type="gram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basketboll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volejboll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hendboll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futboll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78A4B9E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F83ACD5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798A6FAC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Vizatim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Teknik /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Autocad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(Viti I)</w:t>
      </w:r>
    </w:p>
    <w:p w14:paraId="4EEB02E8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Vizatimit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AutoCAD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vizatimin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standardeve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AutoCAD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vizatimeve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dy-dimensionale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(2D)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tre-dimensionale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(3D).</w:t>
      </w:r>
    </w:p>
    <w:p w14:paraId="28DB6E00" w14:textId="77777777" w:rsidR="0065561F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vizatimeve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rrit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paraqitjen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grafike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përforcon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digjitale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206E02E6" w14:textId="77777777" w:rsidR="00057407" w:rsidRPr="00D85DBD" w:rsidRDefault="00057407" w:rsidP="0065561F">
      <w:pPr>
        <w:rPr>
          <w:rFonts w:ascii="Times New Roman" w:hAnsi="Times New Roman" w:cs="Times New Roman"/>
          <w:sz w:val="24"/>
          <w:szCs w:val="24"/>
        </w:rPr>
      </w:pPr>
    </w:p>
    <w:p w14:paraId="0517C92D" w14:textId="10EEB406" w:rsidR="0065561F" w:rsidRPr="00057407" w:rsidRDefault="0065561F" w:rsidP="0065561F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lastRenderedPageBreak/>
        <w:t xml:space="preserve">JA </w:t>
      </w:r>
      <w:proofErr w:type="spellStart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Etike</w:t>
      </w:r>
      <w:proofErr w:type="spellEnd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biznesi</w:t>
      </w:r>
      <w:proofErr w:type="spellEnd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, </w:t>
      </w:r>
      <w:proofErr w:type="spellStart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Shoq</w:t>
      </w:r>
      <w:proofErr w:type="spellEnd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. e </w:t>
      </w:r>
      <w:proofErr w:type="spellStart"/>
      <w:proofErr w:type="gramStart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nx</w:t>
      </w:r>
      <w:r w:rsid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ë</w:t>
      </w:r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n</w:t>
      </w:r>
      <w:r w:rsid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ë</w:t>
      </w:r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sve</w:t>
      </w:r>
      <w:proofErr w:type="spellEnd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(</w:t>
      </w:r>
      <w:proofErr w:type="gramEnd"/>
      <w:r w:rsidRPr="0005740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Viti III)</w:t>
      </w:r>
    </w:p>
    <w:p w14:paraId="7C8D6849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Etikë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Biznesi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(Junior Achievement) (Viti III)</w:t>
      </w:r>
    </w:p>
    <w:p w14:paraId="57E6A76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“JA”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theksin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parësor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lexim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eksplorojnë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karrierë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parimet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gadishmërisë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gërshetuar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teorinë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46B160C1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Shoqëritë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nxënësve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(Junior Achievement) (Viti III)</w:t>
      </w:r>
    </w:p>
    <w:p w14:paraId="1DD99E63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mbështetet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: a)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b)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; c)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Sipërmarrëse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shoqërie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aksionere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produkt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inovator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produktit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shitja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blerja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nxjerrja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biznesi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mjaft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tërheqëse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474E2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4FEA3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Kodimi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Faqeve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Web (Viti II)</w:t>
      </w:r>
    </w:p>
    <w:p w14:paraId="05396259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Kodimi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prezanton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studentin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web-it,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përbërës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logjika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Pasi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transmetuar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klienti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057EAD7A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paraqitja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personalizuara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faqe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aftësohen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gjuhëve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programimit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ndërtuar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ndërfaqe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interaktive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miqësore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përdoruesin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67D1DD30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përmbushin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industrisë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digjitale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791F594B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42B190CD" w14:textId="77777777" w:rsidR="0065561F" w:rsidRPr="00057407" w:rsidRDefault="0065561F" w:rsidP="00655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Principe </w:t>
      </w:r>
      <w:proofErr w:type="spellStart"/>
      <w:proofErr w:type="gramStart"/>
      <w:r w:rsidRPr="00057407">
        <w:rPr>
          <w:rFonts w:ascii="Times New Roman" w:hAnsi="Times New Roman" w:cs="Times New Roman"/>
          <w:b/>
          <w:bCs/>
          <w:sz w:val="24"/>
          <w:szCs w:val="24"/>
        </w:rPr>
        <w:t>Dizenjimi</w:t>
      </w:r>
      <w:proofErr w:type="spellEnd"/>
      <w:r w:rsidRPr="00057407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 w:rsidRPr="00057407">
        <w:rPr>
          <w:rFonts w:ascii="Times New Roman" w:hAnsi="Times New Roman" w:cs="Times New Roman"/>
          <w:b/>
          <w:bCs/>
          <w:sz w:val="24"/>
          <w:szCs w:val="24"/>
        </w:rPr>
        <w:t>Viti II)</w:t>
      </w:r>
    </w:p>
    <w:p w14:paraId="310CDA5F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  <w:r w:rsidRPr="00D85DBD">
        <w:rPr>
          <w:rFonts w:ascii="Times New Roman" w:hAnsi="Times New Roman" w:cs="Times New Roman"/>
          <w:sz w:val="24"/>
          <w:szCs w:val="24"/>
        </w:rPr>
        <w:t xml:space="preserve">Parime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Dizenjimi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mësojë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studentëve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dizenjimit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aftësohet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skicë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skice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modifikimin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drejtpërdrejt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përforcon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përthithjen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mësimit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specializuara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fund,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ideojnë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krijojnë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finalizojnë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85DBD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D85DBD">
        <w:rPr>
          <w:rFonts w:ascii="Times New Roman" w:hAnsi="Times New Roman" w:cs="Times New Roman"/>
          <w:sz w:val="24"/>
          <w:szCs w:val="24"/>
        </w:rPr>
        <w:t>.</w:t>
      </w:r>
    </w:p>
    <w:p w14:paraId="55223671" w14:textId="77777777" w:rsidR="0065561F" w:rsidRPr="00D85DBD" w:rsidRDefault="0065561F" w:rsidP="0065561F">
      <w:pPr>
        <w:rPr>
          <w:rFonts w:ascii="Times New Roman" w:hAnsi="Times New Roman" w:cs="Times New Roman"/>
          <w:sz w:val="24"/>
          <w:szCs w:val="24"/>
        </w:rPr>
      </w:pPr>
    </w:p>
    <w:p w14:paraId="20B0CFAD" w14:textId="77777777" w:rsidR="00DB6BA5" w:rsidRPr="00D85DBD" w:rsidRDefault="00DB6BA5">
      <w:pPr>
        <w:rPr>
          <w:rFonts w:ascii="Times New Roman" w:hAnsi="Times New Roman" w:cs="Times New Roman"/>
          <w:sz w:val="24"/>
          <w:szCs w:val="24"/>
        </w:rPr>
      </w:pPr>
    </w:p>
    <w:sectPr w:rsidR="00DB6BA5" w:rsidRPr="00D8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1F"/>
    <w:rsid w:val="00057407"/>
    <w:rsid w:val="000878C0"/>
    <w:rsid w:val="00181626"/>
    <w:rsid w:val="00554114"/>
    <w:rsid w:val="0065561F"/>
    <w:rsid w:val="007504B6"/>
    <w:rsid w:val="00952B31"/>
    <w:rsid w:val="00D85DBD"/>
    <w:rsid w:val="00D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BD3C"/>
  <w15:chartTrackingRefBased/>
  <w15:docId w15:val="{172A8050-FE87-4A06-9FBE-361C4EE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1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1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1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1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4744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lleshi</dc:creator>
  <cp:keywords/>
  <dc:description/>
  <cp:lastModifiedBy>ornela lleshi</cp:lastModifiedBy>
  <cp:revision>3</cp:revision>
  <dcterms:created xsi:type="dcterms:W3CDTF">2026-03-09T08:48:00Z</dcterms:created>
  <dcterms:modified xsi:type="dcterms:W3CDTF">2026-03-09T09:47:00Z</dcterms:modified>
</cp:coreProperties>
</file>